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80" w:rsidRDefault="00A02380" w:rsidP="00A02380">
      <w:pPr>
        <w:rPr>
          <w:rFonts w:ascii="Arial" w:hAnsi="Arial" w:cstheme="minorBidi"/>
          <w:b/>
          <w:color w:val="003300"/>
          <w:sz w:val="20"/>
          <w:szCs w:val="22"/>
          <w:u w:val="single"/>
        </w:rPr>
      </w:pPr>
      <w:r>
        <w:rPr>
          <w:rFonts w:ascii="Arial" w:hAnsi="Arial" w:cstheme="minorBidi"/>
          <w:b/>
          <w:color w:val="003300"/>
          <w:sz w:val="20"/>
          <w:szCs w:val="22"/>
          <w:u w:val="single"/>
        </w:rPr>
        <w:t>SEC Bad Actor Rules Adopted 9/23/13</w:t>
      </w:r>
      <w:r w:rsidR="00B319F9">
        <w:rPr>
          <w:rFonts w:ascii="Arial" w:hAnsi="Arial" w:cstheme="minorBidi"/>
          <w:b/>
          <w:color w:val="003300"/>
          <w:sz w:val="20"/>
          <w:szCs w:val="22"/>
          <w:u w:val="single"/>
        </w:rPr>
        <w:t xml:space="preserve"> in SEC Release 33-9414</w:t>
      </w:r>
    </w:p>
    <w:p w:rsidR="002C01AE" w:rsidRDefault="002C01AE" w:rsidP="00A02380">
      <w:pPr>
        <w:rPr>
          <w:rFonts w:ascii="Arial" w:hAnsi="Arial" w:cstheme="minorBidi"/>
          <w:b/>
          <w:color w:val="003300"/>
          <w:sz w:val="20"/>
          <w:szCs w:val="22"/>
          <w:u w:val="single"/>
        </w:rPr>
      </w:pPr>
    </w:p>
    <w:p w:rsidR="002C01AE" w:rsidRDefault="00A02380" w:rsidP="00A02380">
      <w:pPr>
        <w:ind w:firstLine="720"/>
        <w:rPr>
          <w:rFonts w:ascii="Arial" w:hAnsi="Arial" w:cstheme="minorBidi"/>
          <w:color w:val="003300"/>
          <w:sz w:val="20"/>
          <w:szCs w:val="22"/>
        </w:rPr>
      </w:pPr>
      <w:r>
        <w:rPr>
          <w:rFonts w:ascii="Arial" w:hAnsi="Arial" w:cstheme="minorBidi"/>
          <w:color w:val="003300"/>
          <w:sz w:val="20"/>
          <w:szCs w:val="22"/>
        </w:rPr>
        <w:t>The New SEC Rules were adopted 9/23/13, in SEC Release 33-9414, which prohibit an issuer from doing a Reg D 506 of</w:t>
      </w:r>
      <w:bookmarkStart w:id="0" w:name="_GoBack"/>
      <w:bookmarkEnd w:id="0"/>
      <w:r>
        <w:rPr>
          <w:rFonts w:ascii="Arial" w:hAnsi="Arial" w:cstheme="minorBidi"/>
          <w:color w:val="003300"/>
          <w:sz w:val="20"/>
          <w:szCs w:val="22"/>
        </w:rPr>
        <w:t xml:space="preserve">fering (both 506 (b) and 506(c)) if there are any “Bad Actors” in the principals or owners (officers, directors, managers, 10% owners, key employees) with any of the prohibited items in their background.  </w:t>
      </w:r>
    </w:p>
    <w:p w:rsidR="002C01AE" w:rsidRDefault="002C01AE" w:rsidP="00A02380">
      <w:pPr>
        <w:ind w:firstLine="720"/>
        <w:rPr>
          <w:rFonts w:ascii="Arial" w:hAnsi="Arial" w:cstheme="minorBidi"/>
          <w:color w:val="003300"/>
          <w:sz w:val="20"/>
          <w:szCs w:val="22"/>
        </w:rPr>
      </w:pPr>
    </w:p>
    <w:p w:rsidR="00A02380" w:rsidRDefault="00B319F9" w:rsidP="00A02380">
      <w:pPr>
        <w:ind w:firstLine="720"/>
        <w:rPr>
          <w:rFonts w:ascii="Arial" w:hAnsi="Arial" w:cstheme="minorBidi"/>
          <w:color w:val="003300"/>
          <w:sz w:val="20"/>
          <w:szCs w:val="22"/>
        </w:rPr>
      </w:pPr>
      <w:r>
        <w:rPr>
          <w:rFonts w:ascii="Arial" w:hAnsi="Arial" w:cstheme="minorBidi"/>
          <w:color w:val="003300"/>
          <w:sz w:val="20"/>
          <w:szCs w:val="22"/>
        </w:rPr>
        <w:t>A</w:t>
      </w:r>
      <w:r w:rsidR="00A02380">
        <w:rPr>
          <w:rFonts w:ascii="Arial" w:hAnsi="Arial" w:cstheme="minorBidi"/>
          <w:color w:val="003300"/>
          <w:sz w:val="20"/>
          <w:szCs w:val="22"/>
        </w:rPr>
        <w:t xml:space="preserve"> Bad Actor </w:t>
      </w:r>
      <w:r w:rsidR="00B60CF8">
        <w:rPr>
          <w:rFonts w:ascii="Arial" w:hAnsi="Arial" w:cstheme="minorBidi"/>
          <w:color w:val="003300"/>
          <w:sz w:val="20"/>
          <w:szCs w:val="22"/>
        </w:rPr>
        <w:t>Questionnaire</w:t>
      </w:r>
      <w:r w:rsidR="00A02380">
        <w:rPr>
          <w:rFonts w:ascii="Arial" w:hAnsi="Arial" w:cstheme="minorBidi"/>
          <w:color w:val="003300"/>
          <w:sz w:val="20"/>
          <w:szCs w:val="22"/>
        </w:rPr>
        <w:t xml:space="preserve"> </w:t>
      </w:r>
      <w:r>
        <w:rPr>
          <w:rFonts w:ascii="Arial" w:hAnsi="Arial" w:cstheme="minorBidi"/>
          <w:color w:val="003300"/>
          <w:sz w:val="20"/>
          <w:szCs w:val="22"/>
        </w:rPr>
        <w:t xml:space="preserve">must be </w:t>
      </w:r>
      <w:r w:rsidR="00A02380">
        <w:rPr>
          <w:rFonts w:ascii="Arial" w:hAnsi="Arial" w:cstheme="minorBidi"/>
          <w:color w:val="003300"/>
          <w:sz w:val="20"/>
          <w:szCs w:val="22"/>
        </w:rPr>
        <w:t>complete</w:t>
      </w:r>
      <w:r>
        <w:rPr>
          <w:rFonts w:ascii="Arial" w:hAnsi="Arial" w:cstheme="minorBidi"/>
          <w:color w:val="003300"/>
          <w:sz w:val="20"/>
          <w:szCs w:val="22"/>
        </w:rPr>
        <w:t>d</w:t>
      </w:r>
      <w:r w:rsidR="00A02380">
        <w:rPr>
          <w:rFonts w:ascii="Arial" w:hAnsi="Arial" w:cstheme="minorBidi"/>
          <w:color w:val="003300"/>
          <w:sz w:val="20"/>
          <w:szCs w:val="22"/>
        </w:rPr>
        <w:t xml:space="preserve"> for each </w:t>
      </w:r>
      <w:r>
        <w:rPr>
          <w:rFonts w:ascii="Arial" w:hAnsi="Arial" w:cstheme="minorBidi"/>
          <w:color w:val="003300"/>
          <w:sz w:val="20"/>
          <w:szCs w:val="22"/>
        </w:rPr>
        <w:t xml:space="preserve">of the </w:t>
      </w:r>
      <w:r w:rsidR="002C01AE">
        <w:rPr>
          <w:rFonts w:ascii="Arial" w:hAnsi="Arial" w:cstheme="minorBidi"/>
          <w:color w:val="003300"/>
          <w:sz w:val="20"/>
          <w:szCs w:val="22"/>
        </w:rPr>
        <w:t>Issuer’s</w:t>
      </w:r>
      <w:r w:rsidR="00A02380">
        <w:rPr>
          <w:rFonts w:ascii="Arial" w:hAnsi="Arial" w:cstheme="minorBidi"/>
          <w:color w:val="003300"/>
          <w:sz w:val="20"/>
          <w:szCs w:val="22"/>
        </w:rPr>
        <w:t xml:space="preserve"> principal</w:t>
      </w:r>
      <w:r>
        <w:rPr>
          <w:rFonts w:ascii="Arial" w:hAnsi="Arial" w:cstheme="minorBidi"/>
          <w:color w:val="003300"/>
          <w:sz w:val="20"/>
          <w:szCs w:val="22"/>
        </w:rPr>
        <w:t>s</w:t>
      </w:r>
      <w:r w:rsidR="00A02380">
        <w:rPr>
          <w:rFonts w:ascii="Arial" w:hAnsi="Arial" w:cstheme="minorBidi"/>
          <w:color w:val="003300"/>
          <w:sz w:val="20"/>
          <w:szCs w:val="22"/>
        </w:rPr>
        <w:t xml:space="preserve"> customized with proper titles and roles (which titles and roles are tied to the statutory requirements)</w:t>
      </w:r>
      <w:r>
        <w:rPr>
          <w:rFonts w:ascii="Arial" w:hAnsi="Arial" w:cstheme="minorBidi"/>
          <w:color w:val="003300"/>
          <w:sz w:val="20"/>
          <w:szCs w:val="22"/>
        </w:rPr>
        <w:t>. Each</w:t>
      </w:r>
      <w:r w:rsidR="00A02380">
        <w:rPr>
          <w:rFonts w:ascii="Arial" w:hAnsi="Arial" w:cstheme="minorBidi"/>
          <w:color w:val="003300"/>
          <w:sz w:val="20"/>
          <w:szCs w:val="22"/>
        </w:rPr>
        <w:t xml:space="preserve"> principal would sign and further complete his or her own history of other offerings.  </w:t>
      </w:r>
    </w:p>
    <w:p w:rsidR="00A02380" w:rsidRDefault="00A02380" w:rsidP="00A02380">
      <w:pPr>
        <w:rPr>
          <w:rFonts w:ascii="Arial" w:hAnsi="Arial" w:cstheme="minorBidi"/>
          <w:color w:val="003300"/>
          <w:sz w:val="20"/>
          <w:szCs w:val="22"/>
        </w:rPr>
      </w:pPr>
    </w:p>
    <w:p w:rsidR="00A02380" w:rsidRDefault="00B319F9" w:rsidP="00B319F9">
      <w:pPr>
        <w:ind w:firstLine="720"/>
        <w:rPr>
          <w:rFonts w:ascii="Arial" w:hAnsi="Arial" w:cstheme="minorBidi"/>
          <w:color w:val="003300"/>
          <w:sz w:val="20"/>
          <w:szCs w:val="22"/>
        </w:rPr>
      </w:pPr>
      <w:r>
        <w:rPr>
          <w:rFonts w:ascii="Arial" w:hAnsi="Arial" w:cstheme="minorBidi"/>
          <w:color w:val="003300"/>
          <w:sz w:val="20"/>
          <w:szCs w:val="22"/>
        </w:rPr>
        <w:t>Below is the link to the SEC Release, and the</w:t>
      </w:r>
      <w:r w:rsidR="00A02380">
        <w:rPr>
          <w:rFonts w:ascii="Arial" w:hAnsi="Arial" w:cstheme="minorBidi"/>
          <w:color w:val="003300"/>
          <w:sz w:val="20"/>
          <w:szCs w:val="22"/>
        </w:rPr>
        <w:t xml:space="preserve"> SEC’s summary of the 147 Page Release.</w:t>
      </w:r>
      <w:r>
        <w:rPr>
          <w:rFonts w:ascii="Arial" w:hAnsi="Arial" w:cstheme="minorBidi"/>
          <w:color w:val="003300"/>
          <w:sz w:val="20"/>
          <w:szCs w:val="22"/>
        </w:rPr>
        <w:t xml:space="preserve"> The </w:t>
      </w:r>
      <w:r w:rsidR="00A02380">
        <w:rPr>
          <w:rFonts w:ascii="Arial" w:hAnsi="Arial" w:cstheme="minorBidi"/>
          <w:color w:val="003300"/>
          <w:sz w:val="20"/>
          <w:szCs w:val="22"/>
        </w:rPr>
        <w:t xml:space="preserve">Release </w:t>
      </w:r>
      <w:r>
        <w:rPr>
          <w:rFonts w:ascii="Arial" w:hAnsi="Arial" w:cstheme="minorBidi"/>
          <w:color w:val="003300"/>
          <w:sz w:val="20"/>
          <w:szCs w:val="22"/>
        </w:rPr>
        <w:t>prohibits an issuer from conducting a Reg D 506 Offering, if any</w:t>
      </w:r>
      <w:r w:rsidR="00A02380">
        <w:rPr>
          <w:rFonts w:ascii="Arial" w:hAnsi="Arial" w:cstheme="minorBidi"/>
          <w:color w:val="003300"/>
          <w:sz w:val="20"/>
          <w:szCs w:val="22"/>
        </w:rPr>
        <w:t xml:space="preserve"> “Bad Actors” </w:t>
      </w:r>
      <w:r>
        <w:rPr>
          <w:rFonts w:ascii="Arial" w:hAnsi="Arial" w:cstheme="minorBidi"/>
          <w:color w:val="003300"/>
          <w:sz w:val="20"/>
          <w:szCs w:val="22"/>
        </w:rPr>
        <w:t>are affiliated with the issuer.</w:t>
      </w:r>
    </w:p>
    <w:p w:rsidR="00A02380" w:rsidRDefault="00A02380" w:rsidP="00A02380">
      <w:pPr>
        <w:ind w:left="720"/>
        <w:rPr>
          <w:rFonts w:ascii="Arial" w:hAnsi="Arial" w:cstheme="minorBidi"/>
          <w:color w:val="003300"/>
          <w:sz w:val="20"/>
          <w:szCs w:val="22"/>
        </w:rPr>
      </w:pPr>
    </w:p>
    <w:p w:rsidR="00A02380" w:rsidRDefault="00A02380" w:rsidP="00A02380">
      <w:pPr>
        <w:pStyle w:val="Default"/>
        <w:ind w:left="720"/>
      </w:pPr>
      <w:hyperlink r:id="rId5" w:history="1">
        <w:r>
          <w:rPr>
            <w:rStyle w:val="Hyperlink"/>
          </w:rPr>
          <w:t>http://www.sec.gov/rules/final/2013/33-9414.pdf</w:t>
        </w:r>
      </w:hyperlink>
      <w:r>
        <w:t xml:space="preserve"> </w:t>
      </w:r>
    </w:p>
    <w:p w:rsidR="00A02380" w:rsidRDefault="00A02380" w:rsidP="00A02380">
      <w:pPr>
        <w:pStyle w:val="Default"/>
        <w:ind w:left="720"/>
      </w:pPr>
    </w:p>
    <w:p w:rsidR="00A02380" w:rsidRDefault="00A02380" w:rsidP="00A02380">
      <w:pPr>
        <w:pStyle w:val="Default"/>
        <w:ind w:left="720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SECURITIES AND EXCHANGE COMMISSION </w:t>
      </w:r>
    </w:p>
    <w:p w:rsidR="00A02380" w:rsidRDefault="00A02380" w:rsidP="00A02380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17 CFR Parts 200, 230, and 239 </w:t>
      </w:r>
    </w:p>
    <w:p w:rsidR="00A02380" w:rsidRDefault="00A02380" w:rsidP="00A02380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Release No. 33-9414; File No. S7-21-11 </w:t>
      </w:r>
    </w:p>
    <w:p w:rsidR="00A02380" w:rsidRDefault="00A02380" w:rsidP="00A02380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RIN 3235-AK97 </w:t>
      </w:r>
    </w:p>
    <w:p w:rsidR="00A02380" w:rsidRDefault="00A02380" w:rsidP="00A02380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  <w:highlight w:val="yellow"/>
        </w:rPr>
        <w:t>Disqualification of Felons and Other “Bad Actors” from Rule 506 Offerings</w:t>
      </w:r>
      <w:r>
        <w:rPr>
          <w:b/>
          <w:bCs/>
          <w:sz w:val="23"/>
          <w:szCs w:val="23"/>
        </w:rPr>
        <w:t xml:space="preserve"> </w:t>
      </w:r>
    </w:p>
    <w:p w:rsidR="00A02380" w:rsidRDefault="00A02380" w:rsidP="00A02380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AGENCY: </w:t>
      </w:r>
      <w:r>
        <w:rPr>
          <w:sz w:val="23"/>
          <w:szCs w:val="23"/>
        </w:rPr>
        <w:t xml:space="preserve">Securities and Exchange Commission. </w:t>
      </w:r>
    </w:p>
    <w:p w:rsidR="00A02380" w:rsidRDefault="00A02380" w:rsidP="00A02380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ACTION: </w:t>
      </w:r>
      <w:r>
        <w:rPr>
          <w:sz w:val="23"/>
          <w:szCs w:val="23"/>
        </w:rPr>
        <w:t xml:space="preserve">Final rule. </w:t>
      </w:r>
    </w:p>
    <w:p w:rsidR="00A02380" w:rsidRDefault="00A02380" w:rsidP="00A02380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SUMMARY: </w:t>
      </w:r>
      <w:r>
        <w:rPr>
          <w:sz w:val="23"/>
          <w:szCs w:val="23"/>
        </w:rPr>
        <w:t xml:space="preserve">We are adopting amendments to our rules to implement Section 926 of the Dodd-Frank Wall Street Reform and Consumer Protection Act. Section 926 requires us to adopt rules that </w:t>
      </w:r>
      <w:r>
        <w:rPr>
          <w:sz w:val="23"/>
          <w:szCs w:val="23"/>
          <w:highlight w:val="yellow"/>
        </w:rPr>
        <w:t>disqualify securities offerings involving certain “felons and other ‘bad actors’” from reliance on Rule 506 of Regulation D.</w:t>
      </w:r>
      <w:r>
        <w:rPr>
          <w:sz w:val="23"/>
          <w:szCs w:val="23"/>
        </w:rPr>
        <w:t xml:space="preserve"> The rules must be “substantially similar” to Rule 262 under the Securities Act, which contains the disqualification provisions of Regulation A under the Securities Act, and must also cover matters enumerated in Section 926 of the Dodd-Frank Act (including certain state regulatory orders and bars). </w:t>
      </w:r>
    </w:p>
    <w:p w:rsidR="00A02380" w:rsidRDefault="00A02380" w:rsidP="00A02380">
      <w:pPr>
        <w:ind w:left="720"/>
        <w:rPr>
          <w:rFonts w:ascii="Arial" w:hAnsi="Arial" w:cstheme="minorBidi"/>
          <w:color w:val="003300"/>
          <w:sz w:val="20"/>
          <w:szCs w:val="22"/>
        </w:rPr>
      </w:pPr>
      <w:r>
        <w:rPr>
          <w:b/>
          <w:bCs/>
          <w:sz w:val="23"/>
          <w:szCs w:val="23"/>
        </w:rPr>
        <w:t xml:space="preserve">DATES: </w:t>
      </w:r>
      <w:r>
        <w:rPr>
          <w:sz w:val="23"/>
          <w:szCs w:val="23"/>
          <w:u w:val="single"/>
        </w:rPr>
        <w:t>Effective Date</w:t>
      </w:r>
      <w:r>
        <w:rPr>
          <w:sz w:val="23"/>
          <w:szCs w:val="23"/>
        </w:rPr>
        <w:t>: September 23, 2013.</w:t>
      </w:r>
    </w:p>
    <w:p w:rsidR="00A27113" w:rsidRDefault="00A27113"/>
    <w:p w:rsidR="009219C6" w:rsidRDefault="009219C6"/>
    <w:sectPr w:rsidR="00921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80"/>
    <w:rsid w:val="002C01AE"/>
    <w:rsid w:val="00767C0A"/>
    <w:rsid w:val="009219C6"/>
    <w:rsid w:val="00A02380"/>
    <w:rsid w:val="00A27113"/>
    <w:rsid w:val="00A9459E"/>
    <w:rsid w:val="00B319F9"/>
    <w:rsid w:val="00B60CF8"/>
    <w:rsid w:val="00C068C0"/>
    <w:rsid w:val="00C2314C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380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2380"/>
    <w:rPr>
      <w:color w:val="0000FF"/>
      <w:u w:val="single"/>
    </w:rPr>
  </w:style>
  <w:style w:type="paragraph" w:customStyle="1" w:styleId="Default">
    <w:name w:val="Default"/>
    <w:rsid w:val="00A023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380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2380"/>
    <w:rPr>
      <w:color w:val="0000FF"/>
      <w:u w:val="single"/>
    </w:rPr>
  </w:style>
  <w:style w:type="paragraph" w:customStyle="1" w:styleId="Default">
    <w:name w:val="Default"/>
    <w:rsid w:val="00A023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c.gov/rules/final/2013/33-94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Fallon-Houle, Nancy</dc:creator>
  <cp:lastModifiedBy>Fallon-Houle, Nancy</cp:lastModifiedBy>
  <cp:revision>2</cp:revision>
  <dcterms:created xsi:type="dcterms:W3CDTF">2014-03-28T03:32:00Z</dcterms:created>
  <dcterms:modified xsi:type="dcterms:W3CDTF">2014-03-28T03:32:00Z</dcterms:modified>
</cp:coreProperties>
</file>